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Article HEALTH_AND_WELL-BEING_ARTICLE – Health and Well-Being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University agrees to make its Employee Assistance Program available to GAs, in the same manner and to the same extent such services are offered to full-time University employees.  The University will not substantively alter the benefits provided under the Employee Assistance Program during the term of this Agreement.</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11/17/2017 -- GEU Initial Proposal to Admin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