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i w:val="1"/>
        </w:rPr>
      </w:pPr>
      <w:r w:rsidDel="00000000" w:rsidR="00000000" w:rsidRPr="00000000">
        <w:rPr>
          <w:i w:val="1"/>
          <w:rtl w:val="0"/>
        </w:rPr>
        <w:t xml:space="preserve">Note: GEU has moved all proposed language regarding fees to a separate article.</w:t>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ARTICLE - TUITION REMISSION</w:t>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w:t>
      </w:r>
      <w:r w:rsidDel="00000000" w:rsidR="00000000" w:rsidRPr="00000000">
        <w:rPr>
          <w:b w:val="1"/>
          <w:strike w:val="1"/>
          <w:rtl w:val="0"/>
        </w:rPr>
        <w:t xml:space="preserve">1</w:t>
      </w:r>
      <w:r w:rsidDel="00000000" w:rsidR="00000000" w:rsidRPr="00000000">
        <w:rPr>
          <w:b w:val="1"/>
          <w:rtl w:val="0"/>
        </w:rPr>
        <w:t xml:space="preserve"> </w:t>
      </w:r>
      <w:r w:rsidDel="00000000" w:rsidR="00000000" w:rsidRPr="00000000">
        <w:rPr>
          <w:b w:val="1"/>
          <w:u w:val="single"/>
          <w:rtl w:val="0"/>
        </w:rPr>
        <w:t xml:space="preserve">TUITION_ARTICLE.TUITION_SECTION</w:t>
      </w:r>
      <w:r w:rsidDel="00000000" w:rsidR="00000000" w:rsidRPr="00000000">
        <w:rPr>
          <w:b w:val="1"/>
          <w:rtl w:val="0"/>
        </w:rPr>
        <w:t xml:space="preserve"> – Tuition</w:t>
      </w:r>
    </w:p>
    <w:p w:rsidR="00000000" w:rsidDel="00000000" w:rsidP="00000000" w:rsidRDefault="00000000" w:rsidRPr="00000000">
      <w:pPr>
        <w:numPr>
          <w:ilvl w:val="0"/>
          <w:numId w:val="2"/>
        </w:numPr>
        <w:spacing w:after="160" w:line="259" w:lineRule="auto"/>
        <w:ind w:left="720" w:hanging="360"/>
        <w:contextualSpacing w:val="1"/>
        <w:rPr>
          <w:rFonts w:ascii="Calibri" w:cs="Calibri" w:eastAsia="Calibri" w:hAnsi="Calibri"/>
        </w:rPr>
      </w:pPr>
      <w:r w:rsidDel="00000000" w:rsidR="00000000" w:rsidRPr="00000000">
        <w:rPr>
          <w:rtl w:val="0"/>
        </w:rPr>
        <w:t xml:space="preserve">The University will determine tuition levels for all graduate students</w:t>
      </w:r>
      <w:r w:rsidDel="00000000" w:rsidR="00000000" w:rsidRPr="00000000">
        <w:rPr>
          <w:u w:val="single"/>
          <w:rtl w:val="0"/>
        </w:rPr>
        <w:t xml:space="preserve">, </w:t>
      </w:r>
      <w:r w:rsidDel="00000000" w:rsidR="00000000" w:rsidRPr="00000000">
        <w:rPr>
          <w:b w:val="1"/>
          <w:u w:val="single"/>
          <w:rtl w:val="0"/>
        </w:rPr>
        <w:t xml:space="preserve">in keeping with ORS 352.102</w:t>
      </w:r>
      <w:r w:rsidDel="00000000" w:rsidR="00000000" w:rsidRPr="00000000">
        <w:rPr>
          <w:b w:val="1"/>
          <w:rtl w:val="0"/>
        </w:rPr>
        <w:t xml:space="preserve">. </w:t>
      </w:r>
      <w:r w:rsidDel="00000000" w:rsidR="00000000" w:rsidRPr="00000000">
        <w:rPr>
          <w:rtl w:val="0"/>
        </w:rPr>
        <w:t xml:space="preserve">Graduate Assistant tuition will be assessed at the resident graduate rate for the Graduate Assistant’s program of study as published in the University’s Tuition and Fee schedule. </w:t>
      </w:r>
      <w:r w:rsidDel="00000000" w:rsidR="00000000" w:rsidRPr="00000000">
        <w:rPr>
          <w:rtl w:val="0"/>
        </w:rPr>
      </w:r>
    </w:p>
    <w:p w:rsidR="00000000" w:rsidDel="00000000" w:rsidP="00000000" w:rsidRDefault="00000000" w:rsidRPr="00000000">
      <w:pPr>
        <w:spacing w:after="160" w:line="259" w:lineRule="auto"/>
        <w:contextualSpacing w:val="0"/>
        <w:rPr/>
      </w:pPr>
      <w:r w:rsidDel="00000000" w:rsidR="00000000" w:rsidRPr="00000000">
        <w:rPr>
          <w:rtl w:val="0"/>
        </w:rPr>
      </w:r>
    </w:p>
    <w:p w:rsidR="00000000" w:rsidDel="00000000" w:rsidP="00000000" w:rsidRDefault="00000000" w:rsidRPr="00000000">
      <w:pPr>
        <w:numPr>
          <w:ilvl w:val="0"/>
          <w:numId w:val="2"/>
        </w:numPr>
        <w:spacing w:after="160" w:line="259" w:lineRule="auto"/>
        <w:ind w:left="720" w:hanging="360"/>
        <w:contextualSpacing w:val="1"/>
        <w:rPr>
          <w:b w:val="1"/>
        </w:rPr>
      </w:pPr>
      <w:r w:rsidDel="00000000" w:rsidR="00000000" w:rsidRPr="00000000">
        <w:rPr>
          <w:b w:val="1"/>
          <w:u w:val="single"/>
          <w:rtl w:val="0"/>
        </w:rPr>
        <w:t xml:space="preserve">If a GA’s employment status changes during an academic year, they will continue to be assessed tuition at the resident rate for that academic year. </w:t>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w:t>
      </w:r>
      <w:r w:rsidDel="00000000" w:rsidR="00000000" w:rsidRPr="00000000">
        <w:rPr>
          <w:b w:val="1"/>
          <w:strike w:val="1"/>
          <w:rtl w:val="0"/>
        </w:rPr>
        <w:t xml:space="preserve">2</w:t>
      </w:r>
      <w:r w:rsidDel="00000000" w:rsidR="00000000" w:rsidRPr="00000000">
        <w:rPr>
          <w:b w:val="1"/>
          <w:rtl w:val="0"/>
        </w:rPr>
        <w:t xml:space="preserve"> </w:t>
      </w:r>
      <w:r w:rsidDel="00000000" w:rsidR="00000000" w:rsidRPr="00000000">
        <w:rPr>
          <w:b w:val="1"/>
          <w:u w:val="single"/>
          <w:rtl w:val="0"/>
        </w:rPr>
        <w:t xml:space="preserve">TUITION_ARTICLE.REMISSION_SECTION</w:t>
      </w:r>
      <w:r w:rsidDel="00000000" w:rsidR="00000000" w:rsidRPr="00000000">
        <w:rPr>
          <w:b w:val="1"/>
          <w:rtl w:val="0"/>
        </w:rPr>
        <w:t xml:space="preserve"> – Tuition Remission</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strike w:val="1"/>
          <w:rtl w:val="0"/>
        </w:rPr>
        <w:t xml:space="preserve">Eligible</w:t>
      </w:r>
      <w:r w:rsidDel="00000000" w:rsidR="00000000" w:rsidRPr="00000000">
        <w:rPr>
          <w:rtl w:val="0"/>
        </w:rPr>
        <w:t xml:space="preserve"> Graduate Assistants will receive tuition remission as part of their total compensation.</w:t>
      </w:r>
      <w:r w:rsidDel="00000000" w:rsidR="00000000" w:rsidRPr="00000000">
        <w:rPr>
          <w:rtl w:val="0"/>
        </w:rPr>
      </w:r>
    </w:p>
    <w:p w:rsidR="00000000" w:rsidDel="00000000" w:rsidP="00000000" w:rsidRDefault="00000000" w:rsidRPr="00000000">
      <w:pPr>
        <w:spacing w:line="259"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tl w:val="0"/>
        </w:rPr>
        <w:t xml:space="preserve">Graduate Assistants are eligible for a tuition remission equal to the resident graduate base tuition rate for up to nine (9) credit hours in any term during the academic year in which they are employed as a Graduate Assistant.</w:t>
      </w:r>
    </w:p>
    <w:p w:rsidR="00000000" w:rsidDel="00000000" w:rsidP="00000000" w:rsidRDefault="00000000" w:rsidRPr="00000000">
      <w:pPr>
        <w:spacing w:line="259"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spacing w:after="0" w:line="259" w:lineRule="auto"/>
        <w:ind w:left="720" w:hanging="360"/>
        <w:contextualSpacing w:val="0"/>
        <w:rPr/>
      </w:pPr>
      <w:r w:rsidDel="00000000" w:rsidR="00000000" w:rsidRPr="00000000">
        <w:rPr>
          <w:rtl w:val="0"/>
        </w:rPr>
        <w:t xml:space="preserve">Employing units reserve the right to grant a tuition remission for any amount up to the total amount of tuition billed to the Graduate Assistant, including differential tuition rates. </w:t>
      </w:r>
      <w:r w:rsidDel="00000000" w:rsidR="00000000" w:rsidRPr="00000000">
        <w:rPr>
          <w:strike w:val="1"/>
          <w:rtl w:val="0"/>
        </w:rPr>
        <w:t xml:space="preserve">In no case will the tuition remission exceed the actual amount of tuition charged to the Graduate Assistant.</w:t>
      </w:r>
    </w:p>
    <w:p w:rsidR="00000000" w:rsidDel="00000000" w:rsidP="00000000" w:rsidRDefault="00000000" w:rsidRPr="00000000">
      <w:pPr>
        <w:spacing w:after="0" w:line="259" w:lineRule="auto"/>
        <w:contextualSpacing w:val="0"/>
        <w:rPr/>
      </w:pPr>
      <w:r w:rsidDel="00000000" w:rsidR="00000000" w:rsidRPr="00000000">
        <w:rPr>
          <w:rtl w:val="0"/>
        </w:rPr>
        <w:tab/>
      </w:r>
    </w:p>
    <w:p w:rsidR="00000000" w:rsidDel="00000000" w:rsidP="00000000" w:rsidRDefault="00000000" w:rsidRPr="00000000">
      <w:pPr>
        <w:numPr>
          <w:ilvl w:val="0"/>
          <w:numId w:val="1"/>
        </w:numPr>
        <w:spacing w:after="0" w:before="0" w:line="259" w:lineRule="auto"/>
        <w:ind w:left="720" w:hanging="360"/>
        <w:contextualSpacing w:val="0"/>
        <w:rPr>
          <w:b w:val="1"/>
        </w:rPr>
      </w:pPr>
      <w:r w:rsidDel="00000000" w:rsidR="00000000" w:rsidRPr="00000000">
        <w:rPr>
          <w:b w:val="1"/>
          <w:u w:val="single"/>
          <w:rtl w:val="0"/>
        </w:rPr>
        <w:t xml:space="preserve">Should a Graduate Assistant be awarded tuition remission from multiple sources, the </w:t>
      </w:r>
      <w:r w:rsidDel="00000000" w:rsidR="00000000" w:rsidRPr="00000000">
        <w:rPr>
          <w:b w:val="1"/>
          <w:u w:val="single"/>
          <w:rtl w:val="0"/>
        </w:rPr>
        <w:t xml:space="preserve">GA will be granted tuition remission equal to the sum of all remissions for which they are eligible</w:t>
      </w:r>
      <w:r w:rsidDel="00000000" w:rsidR="00000000" w:rsidRPr="00000000">
        <w:rPr>
          <w:b w:val="1"/>
          <w:u w:val="single"/>
          <w:rtl w:val="0"/>
        </w:rPr>
        <w:t xml:space="preserve">.</w:t>
      </w:r>
    </w:p>
    <w:p w:rsidR="00000000" w:rsidDel="00000000" w:rsidP="00000000" w:rsidRDefault="00000000" w:rsidRPr="00000000">
      <w:pPr>
        <w:spacing w:after="0" w:before="0" w:line="259" w:lineRule="auto"/>
        <w:contextualSpacing w:val="0"/>
        <w:rPr>
          <w:b w:val="1"/>
          <w:u w:val="single"/>
        </w:rPr>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0"/>
        <w:rPr>
          <w:u w:val="none"/>
        </w:rPr>
      </w:pPr>
      <w:r w:rsidDel="00000000" w:rsidR="00000000" w:rsidRPr="00000000">
        <w:rPr>
          <w:b w:val="1"/>
          <w:u w:val="single"/>
          <w:rtl w:val="0"/>
        </w:rPr>
        <w:t xml:space="preserve">In the event that legislation or executive orders affecting tuition remission or the taxable status of remitted tuition passes or are implemented, respectively, the parties will enter into impact bargaining.</w:t>
      </w:r>
      <w:r w:rsidDel="00000000" w:rsidR="00000000" w:rsidRPr="00000000">
        <w:rPr>
          <w:u w:val="single"/>
          <w:rtl w:val="0"/>
        </w:rPr>
        <w:t xml:space="preserve">  </w:t>
      </w:r>
    </w:p>
    <w:p w:rsidR="00000000" w:rsidDel="00000000" w:rsidP="00000000" w:rsidRDefault="00000000" w:rsidRPr="00000000">
      <w:pPr>
        <w:spacing w:after="160" w:before="0" w:line="259" w:lineRule="auto"/>
        <w:contextualSpacing w:val="0"/>
        <w:rPr>
          <w:u w:val="single"/>
        </w:rPr>
      </w:pPr>
      <w:r w:rsidDel="00000000" w:rsidR="00000000" w:rsidRPr="00000000">
        <w:rPr>
          <w:rtl w:val="0"/>
        </w:rPr>
      </w:r>
    </w:p>
    <w:p w:rsidR="00000000" w:rsidDel="00000000" w:rsidP="00000000" w:rsidRDefault="00000000" w:rsidRPr="00000000">
      <w:pPr>
        <w:spacing w:after="160" w:line="259" w:lineRule="auto"/>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b w:val="1"/>
        <w:rtl w:val="0"/>
      </w:rPr>
      <w:t xml:space="preserve">11/17/2017 - GEU Counter Proposal to Admin Proposal of 10/27/17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p w:rsidR="00000000" w:rsidDel="00000000" w:rsidP="00000000" w:rsidRDefault="00000000" w:rsidRPr="00000000">
    <w:pPr>
      <w:contextualSpacing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