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line="259" w:lineRule="auto"/>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spacing w:after="160" w:line="259" w:lineRule="auto"/>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 Sections in this Article have been rearranged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A</w:t>
      </w:r>
      <w:r w:rsidDel="00000000" w:rsidR="00000000" w:rsidRPr="00000000">
        <w:rPr>
          <w:rFonts w:ascii="Arial" w:cs="Arial" w:eastAsia="Arial" w:hAnsi="Arial"/>
          <w:b w:val="1"/>
          <w:sz w:val="22"/>
          <w:szCs w:val="22"/>
          <w:rtl w:val="0"/>
        </w:rPr>
        <w:t xml:space="preserve">rticle SALARY_ARTICLE</w:t>
      </w: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 – </w:t>
      </w:r>
      <w:r w:rsidDel="00000000" w:rsidR="00000000" w:rsidRPr="00000000">
        <w:rPr>
          <w:rFonts w:ascii="Arial" w:cs="Arial" w:eastAsia="Arial" w:hAnsi="Arial"/>
          <w:b w:val="1"/>
          <w:i w:val="0"/>
          <w:smallCaps w:val="0"/>
          <w:strike w:val="1"/>
          <w:color w:val="000000"/>
          <w:sz w:val="22"/>
          <w:szCs w:val="22"/>
          <w:shd w:fill="auto" w:val="clear"/>
          <w:vertAlign w:val="baseline"/>
          <w:rtl w:val="0"/>
        </w:rPr>
        <w:t xml:space="preserve">Stipend</w:t>
      </w: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 </w:t>
      </w:r>
      <w:r w:rsidDel="00000000" w:rsidR="00000000" w:rsidRPr="00000000">
        <w:rPr>
          <w:rFonts w:ascii="Arial" w:cs="Arial" w:eastAsia="Arial" w:hAnsi="Arial"/>
          <w:b w:val="1"/>
          <w:sz w:val="22"/>
          <w:szCs w:val="22"/>
          <w:rtl w:val="0"/>
        </w:rPr>
        <w:t xml:space="preserve">Salary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SALARY_ARTICLE.GENERAL_SECTION – General Provisions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PSU and GEU have a shared interest in promoting equity and providing a livable monthly salary to all GAs.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Employing units may determine a GA’s FTE and hourly rate, so long as they are set in keeping with the contents of this Article. </w:t>
      </w:r>
      <w:r w:rsidDel="00000000" w:rsidR="00000000" w:rsidRPr="00000000">
        <w:rPr>
          <w:rFonts w:ascii="Arial" w:cs="Arial" w:eastAsia="Arial" w:hAnsi="Arial"/>
          <w:b w:val="1"/>
          <w:sz w:val="22"/>
          <w:szCs w:val="22"/>
          <w:u w:val="single"/>
          <w:rtl w:val="0"/>
        </w:rPr>
        <w:t xml:space="preserve">The provisions in this Article apply to the combined salary and FTE and all hourly rates for GAs with multiple appointments.</w:t>
      </w: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shd w:fill="ffffff" w:val="clear"/>
        <w:spacing w:after="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University shall not reduce the monthly salary rate of bargaining unit employees re-appointed in a subsequent fiscal or academic year within the same employing </w:t>
      </w:r>
      <w:r w:rsidDel="00000000" w:rsidR="00000000" w:rsidRPr="00000000">
        <w:rPr>
          <w:rFonts w:ascii="Arial" w:cs="Arial" w:eastAsia="Arial" w:hAnsi="Arial"/>
          <w:strike w:val="1"/>
          <w:sz w:val="22"/>
          <w:szCs w:val="22"/>
          <w:rtl w:val="0"/>
        </w:rPr>
        <w:t xml:space="preserve">department</w:t>
      </w:r>
      <w:r w:rsidDel="00000000" w:rsidR="00000000" w:rsidRPr="00000000">
        <w:rPr>
          <w:rFonts w:ascii="Arial" w:cs="Arial" w:eastAsia="Arial" w:hAnsi="Arial"/>
          <w:b w:val="1"/>
          <w:sz w:val="22"/>
          <w:szCs w:val="22"/>
          <w:u w:val="single"/>
          <w:rtl w:val="0"/>
        </w:rPr>
        <w:t xml:space="preserve">unit</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SALARY_ARTICLE.LEVELS_SECTION – GA Pay Level Definitions</w:t>
      </w:r>
    </w:p>
    <w:p w:rsidR="00000000" w:rsidDel="00000000" w:rsidP="00000000" w:rsidRDefault="00000000" w:rsidRPr="00000000">
      <w:pPr>
        <w:spacing w:line="276" w:lineRule="auto"/>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Level I – Eligible graduate students admitted to a graduate degree program or doctoral students who are not eligible for a Level II or Level III appointment.</w:t>
      </w:r>
    </w:p>
    <w:p w:rsidR="00000000" w:rsidDel="00000000" w:rsidP="00000000" w:rsidRDefault="00000000" w:rsidRPr="00000000">
      <w:pPr>
        <w:spacing w:line="276" w:lineRule="auto"/>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Level II – Eligible graduate students in a graduate degree program who have </w:t>
      </w:r>
    </w:p>
    <w:p w:rsidR="00000000" w:rsidDel="00000000" w:rsidP="00000000" w:rsidRDefault="00000000" w:rsidRPr="00000000">
      <w:pPr>
        <w:numPr>
          <w:ilvl w:val="1"/>
          <w:numId w:val="4"/>
        </w:numPr>
        <w:spacing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a master’s degree in the same or cognate field, </w:t>
      </w:r>
    </w:p>
    <w:p w:rsidR="00000000" w:rsidDel="00000000" w:rsidP="00000000" w:rsidRDefault="00000000" w:rsidRPr="00000000">
      <w:pPr>
        <w:numPr>
          <w:ilvl w:val="1"/>
          <w:numId w:val="4"/>
        </w:numPr>
        <w:spacing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successfully completed a qualifying examination toward a doctoral degree, </w:t>
      </w:r>
    </w:p>
    <w:p w:rsidR="00000000" w:rsidDel="00000000" w:rsidP="00000000" w:rsidRDefault="00000000" w:rsidRPr="00000000">
      <w:pPr>
        <w:numPr>
          <w:ilvl w:val="1"/>
          <w:numId w:val="4"/>
        </w:numPr>
        <w:spacing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completed 45 credit hours toward a doctoral degree and have a written recommendation of the head of their major department, or </w:t>
      </w:r>
    </w:p>
    <w:p w:rsidR="00000000" w:rsidDel="00000000" w:rsidP="00000000" w:rsidRDefault="00000000" w:rsidRPr="00000000">
      <w:pPr>
        <w:numPr>
          <w:ilvl w:val="1"/>
          <w:numId w:val="4"/>
        </w:numPr>
        <w:spacing w:line="276" w:lineRule="auto"/>
        <w:ind w:left="144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completed at least one year of satisfactory coursework in the degree program.</w:t>
      </w:r>
    </w:p>
    <w:p w:rsidR="00000000" w:rsidDel="00000000" w:rsidP="00000000" w:rsidRDefault="00000000" w:rsidRPr="00000000">
      <w:pPr>
        <w:spacing w:line="276"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pPr>
        <w:spacing w:line="276"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Level III – </w:t>
      </w:r>
      <w:r w:rsidDel="00000000" w:rsidR="00000000" w:rsidRPr="00000000">
        <w:rPr>
          <w:rFonts w:ascii="Arial" w:cs="Arial" w:eastAsia="Arial" w:hAnsi="Arial"/>
          <w:b w:val="1"/>
          <w:color w:val="333333"/>
          <w:sz w:val="22"/>
          <w:szCs w:val="22"/>
          <w:highlight w:val="white"/>
          <w:u w:val="single"/>
          <w:rtl w:val="0"/>
        </w:rPr>
        <w:t xml:space="preserve">Regularly enrolled doctoral students who have advanced to </w:t>
      </w:r>
      <w:r w:rsidDel="00000000" w:rsidR="00000000" w:rsidRPr="00000000">
        <w:rPr>
          <w:rFonts w:ascii="Arial" w:cs="Arial" w:eastAsia="Arial" w:hAnsi="Arial"/>
          <w:b w:val="1"/>
          <w:color w:val="333333"/>
          <w:sz w:val="22"/>
          <w:szCs w:val="22"/>
          <w:highlight w:val="white"/>
          <w:u w:val="single"/>
          <w:rtl w:val="0"/>
        </w:rPr>
        <w:t xml:space="preserve">candidacy</w:t>
      </w:r>
      <w:r w:rsidDel="00000000" w:rsidR="00000000" w:rsidRPr="00000000">
        <w:rPr>
          <w:rFonts w:ascii="Arial" w:cs="Arial" w:eastAsia="Arial" w:hAnsi="Arial"/>
          <w:b w:val="1"/>
          <w:color w:val="333333"/>
          <w:sz w:val="22"/>
          <w:szCs w:val="22"/>
          <w:highlight w:val="white"/>
          <w:u w:val="single"/>
          <w:rtl w:val="0"/>
        </w:rPr>
        <w:t xml:space="preserve">.</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Section SALARY_ARTICLE.</w:t>
      </w:r>
      <w:r w:rsidDel="00000000" w:rsidR="00000000" w:rsidRPr="00000000">
        <w:rPr>
          <w:rFonts w:ascii="Arial" w:cs="Arial" w:eastAsia="Arial" w:hAnsi="Arial"/>
          <w:b w:val="1"/>
          <w:sz w:val="22"/>
          <w:szCs w:val="22"/>
          <w:u w:val="single"/>
          <w:rtl w:val="0"/>
        </w:rPr>
        <w:t xml:space="preserve">MINIMUM_SALARY_SECTION</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  M</w:t>
      </w:r>
      <w:r w:rsidDel="00000000" w:rsidR="00000000" w:rsidRPr="00000000">
        <w:rPr>
          <w:rFonts w:ascii="Arial" w:cs="Arial" w:eastAsia="Arial" w:hAnsi="Arial"/>
          <w:b w:val="1"/>
          <w:sz w:val="22"/>
          <w:szCs w:val="22"/>
          <w:u w:val="single"/>
          <w:rtl w:val="0"/>
        </w:rPr>
        <w:t xml:space="preserve">inimum Salary </w:t>
      </w:r>
      <w:r w:rsidDel="00000000" w:rsidR="00000000" w:rsidRPr="00000000">
        <w:rPr>
          <w:rFonts w:ascii="Arial" w:cs="Arial" w:eastAsia="Arial" w:hAnsi="Arial"/>
          <w:b w:val="1"/>
          <w:strike w:val="1"/>
          <w:sz w:val="22"/>
          <w:szCs w:val="22"/>
          <w:rtl w:val="0"/>
        </w:rPr>
        <w:t xml:space="preserve">Monthly Salary Rate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u w:val="single"/>
        </w:rPr>
      </w:pPr>
      <w:r w:rsidDel="00000000" w:rsidR="00000000" w:rsidRPr="00000000">
        <w:rPr>
          <w:rtl w:val="0"/>
        </w:rPr>
      </w:r>
    </w:p>
    <w:tbl>
      <w:tblPr>
        <w:tblStyle w:val="Table1"/>
        <w:tblW w:w="886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2385"/>
        <w:gridCol w:w="1800"/>
        <w:gridCol w:w="3180"/>
        <w:tblGridChange w:id="0">
          <w:tblGrid>
            <w:gridCol w:w="1500"/>
            <w:gridCol w:w="2385"/>
            <w:gridCol w:w="1800"/>
            <w:gridCol w:w="3180"/>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GA Level</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Term of Appointment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Salary by Levels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spacing w:line="276" w:lineRule="auto"/>
              <w:ind w:left="-9360" w:right="-9360" w:firstLine="0"/>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Minimum Salary for 2017-2018</w:t>
            </w:r>
          </w:p>
        </w:tc>
      </w:tr>
      <w:tr>
        <w:trPr>
          <w:trHeight w:val="300" w:hRule="atLeast"/>
        </w:trPr>
        <w:tc>
          <w:tcPr>
            <w:vMerge w:val="restart"/>
            <w:tcBorders>
              <w:top w:color="cccccc"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Level 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Monthly Salary</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76" w:lineRule="auto"/>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100% of Level 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right"/>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$1,005</w:t>
            </w:r>
            <w:r w:rsidDel="00000000" w:rsidR="00000000" w:rsidRPr="00000000">
              <w:rPr>
                <w:rtl w:val="0"/>
              </w:rPr>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Hourly Rate</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right"/>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$13.65</w:t>
            </w:r>
            <w:r w:rsidDel="00000000" w:rsidR="00000000" w:rsidRPr="00000000">
              <w:rPr>
                <w:rtl w:val="0"/>
              </w:rPr>
            </w:r>
          </w:p>
        </w:tc>
      </w:tr>
      <w:tr>
        <w:trPr>
          <w:trHeight w:val="300" w:hRule="atLeast"/>
        </w:trPr>
        <w:tc>
          <w:tcPr>
            <w:gridSpan w:val="4"/>
            <w:tcBorders>
              <w:top w:color="cccccc" w:space="0" w:sz="6" w:val="single"/>
              <w:left w:color="cccccc" w:space="0" w:sz="6" w:val="single"/>
              <w:bottom w:color="000000" w:space="0" w:sz="6" w:val="single"/>
              <w:right w:color="cccccc" w:space="0" w:sz="6" w:val="single"/>
            </w:tcBorders>
            <w:shd w:fill="efefef" w:val="clear"/>
            <w:tcMar>
              <w:top w:w="40.0" w:type="dxa"/>
              <w:left w:w="40.0" w:type="dxa"/>
              <w:bottom w:w="40.0" w:type="dxa"/>
              <w:right w:w="40.0" w:type="dxa"/>
            </w:tcMar>
            <w:vAlign w:val="center"/>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tl w:val="0"/>
              </w:rPr>
            </w:r>
          </w:p>
        </w:tc>
      </w:tr>
      <w:tr>
        <w:trPr>
          <w:trHeight w:val="300" w:hRule="atLeast"/>
        </w:trPr>
        <w:tc>
          <w:tcPr>
            <w:vMerge w:val="restart"/>
            <w:tcBorders>
              <w:top w:color="cccccc"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Level II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Monthly Salary</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76" w:lineRule="auto"/>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111% of Level 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right"/>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$1116</w:t>
            </w:r>
            <w:r w:rsidDel="00000000" w:rsidR="00000000" w:rsidRPr="00000000">
              <w:rPr>
                <w:rtl w:val="0"/>
              </w:rPr>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Hourly Rate</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right"/>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$15.15</w:t>
            </w:r>
            <w:r w:rsidDel="00000000" w:rsidR="00000000" w:rsidRPr="00000000">
              <w:rPr>
                <w:rtl w:val="0"/>
              </w:rPr>
            </w:r>
          </w:p>
        </w:tc>
      </w:tr>
      <w:tr>
        <w:trPr>
          <w:trHeight w:val="300" w:hRule="atLeast"/>
        </w:trPr>
        <w:tc>
          <w:tcPr>
            <w:gridSpan w:val="4"/>
            <w:tcBorders>
              <w:top w:color="cccccc" w:space="0" w:sz="6" w:val="single"/>
              <w:left w:color="cccccc" w:space="0" w:sz="6" w:val="single"/>
              <w:bottom w:color="000000" w:space="0" w:sz="6" w:val="single"/>
              <w:right w:color="cccccc" w:space="0" w:sz="6" w:val="single"/>
            </w:tcBorders>
            <w:shd w:fill="efefef" w:val="clear"/>
            <w:tcMar>
              <w:top w:w="40.0" w:type="dxa"/>
              <w:left w:w="40.0" w:type="dxa"/>
              <w:bottom w:w="40.0" w:type="dxa"/>
              <w:right w:w="40.0" w:type="dxa"/>
            </w:tcMar>
            <w:vAlign w:val="center"/>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tl w:val="0"/>
              </w:rPr>
            </w:r>
          </w:p>
        </w:tc>
      </w:tr>
      <w:tr>
        <w:trPr>
          <w:trHeight w:val="300" w:hRule="atLeast"/>
        </w:trPr>
        <w:tc>
          <w:tcPr>
            <w:vMerge w:val="restart"/>
            <w:tcBorders>
              <w:top w:color="cccccc"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Level III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Monthly Salary</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76" w:lineRule="auto"/>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111% of Level II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right"/>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$1238</w:t>
            </w:r>
            <w:r w:rsidDel="00000000" w:rsidR="00000000" w:rsidRPr="00000000">
              <w:rPr>
                <w:rtl w:val="0"/>
              </w:rPr>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Hourly Rate</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right"/>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$16.82</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left"/>
        <w:rPr>
          <w:i w:val="0"/>
          <w:smallCaps w:val="0"/>
          <w:color w:val="000000"/>
          <w:sz w:val="22"/>
          <w:szCs w:val="22"/>
          <w:shd w:fill="auto" w:val="clear"/>
          <w:vertAlign w:val="baseline"/>
        </w:rPr>
      </w:pPr>
      <w:r w:rsidDel="00000000" w:rsidR="00000000" w:rsidRPr="00000000">
        <w:rPr>
          <w:rFonts w:ascii="Arial" w:cs="Arial" w:eastAsia="Arial" w:hAnsi="Arial"/>
          <w:i w:val="0"/>
          <w:smallCaps w:val="0"/>
          <w:color w:val="000000"/>
          <w:sz w:val="22"/>
          <w:szCs w:val="22"/>
          <w:u w:val="none"/>
          <w:shd w:fill="auto" w:val="clear"/>
          <w:vertAlign w:val="baseline"/>
          <w:rtl w:val="0"/>
        </w:rPr>
        <w:t xml:space="preserve">The minimum </w:t>
      </w:r>
      <w:r w:rsidDel="00000000" w:rsidR="00000000" w:rsidRPr="00000000">
        <w:rPr>
          <w:rFonts w:ascii="Arial" w:cs="Arial" w:eastAsia="Arial" w:hAnsi="Arial"/>
          <w:sz w:val="22"/>
          <w:szCs w:val="22"/>
          <w:rtl w:val="0"/>
        </w:rPr>
        <w:t xml:space="preserve">monthly</w:t>
      </w:r>
      <w:r w:rsidDel="00000000" w:rsidR="00000000" w:rsidRPr="00000000">
        <w:rPr>
          <w:rFonts w:ascii="Arial" w:cs="Arial" w:eastAsia="Arial" w:hAnsi="Arial"/>
          <w:i w:val="0"/>
          <w:smallCaps w:val="0"/>
          <w:color w:val="000000"/>
          <w:sz w:val="22"/>
          <w:szCs w:val="22"/>
          <w:u w:val="none"/>
          <w:shd w:fill="auto" w:val="clear"/>
          <w:vertAlign w:val="baseline"/>
          <w:rtl w:val="0"/>
        </w:rPr>
        <w:t xml:space="preserve"> salary </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at L</w:t>
      </w:r>
      <w:r w:rsidDel="00000000" w:rsidR="00000000" w:rsidRPr="00000000">
        <w:rPr>
          <w:rFonts w:ascii="Arial" w:cs="Arial" w:eastAsia="Arial" w:hAnsi="Arial"/>
          <w:b w:val="1"/>
          <w:sz w:val="22"/>
          <w:szCs w:val="22"/>
          <w:u w:val="single"/>
          <w:rtl w:val="0"/>
        </w:rPr>
        <w:t xml:space="preserve">evel I </w:t>
      </w:r>
      <w:r w:rsidDel="00000000" w:rsidR="00000000" w:rsidRPr="00000000">
        <w:rPr>
          <w:rFonts w:ascii="Arial" w:cs="Arial" w:eastAsia="Arial" w:hAnsi="Arial"/>
          <w:i w:val="0"/>
          <w:smallCaps w:val="0"/>
          <w:color w:val="000000"/>
          <w:sz w:val="22"/>
          <w:szCs w:val="22"/>
          <w:u w:val="none"/>
          <w:shd w:fill="auto" w:val="clear"/>
          <w:vertAlign w:val="baseline"/>
          <w:rtl w:val="0"/>
        </w:rPr>
        <w:t xml:space="preserve">will be </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set to no less than</w:t>
      </w:r>
      <w:r w:rsidDel="00000000" w:rsidR="00000000" w:rsidRPr="00000000">
        <w:rPr>
          <w:rFonts w:ascii="Arial" w:cs="Arial" w:eastAsia="Arial" w:hAnsi="Arial"/>
          <w:b w:val="1"/>
          <w:sz w:val="22"/>
          <w:szCs w:val="22"/>
          <w:u w:val="single"/>
          <w:rtl w:val="0"/>
        </w:rPr>
        <w:t xml:space="preserve"> the federal poverty line, as published by the U.S. Department of  Health and Human Services </w:t>
      </w:r>
      <w:r w:rsidDel="00000000" w:rsidR="00000000" w:rsidRPr="00000000">
        <w:rPr>
          <w:rFonts w:ascii="Arial" w:cs="Arial" w:eastAsia="Arial" w:hAnsi="Arial"/>
          <w:b w:val="1"/>
          <w:sz w:val="22"/>
          <w:szCs w:val="22"/>
          <w:u w:val="single"/>
          <w:rtl w:val="0"/>
        </w:rPr>
        <w:t xml:space="preserve">(</w:t>
      </w:r>
      <w:hyperlink r:id="rId5">
        <w:r w:rsidDel="00000000" w:rsidR="00000000" w:rsidRPr="00000000">
          <w:rPr>
            <w:rFonts w:ascii="Arial" w:cs="Arial" w:eastAsia="Arial" w:hAnsi="Arial"/>
            <w:b w:val="1"/>
            <w:color w:val="1155cc"/>
            <w:sz w:val="22"/>
            <w:szCs w:val="22"/>
            <w:u w:val="single"/>
            <w:rtl w:val="0"/>
          </w:rPr>
          <w:t xml:space="preserve">https://aspe.hhs.gov/poverty-guidelines</w:t>
        </w:r>
      </w:hyperlink>
      <w:r w:rsidDel="00000000" w:rsidR="00000000" w:rsidRPr="00000000">
        <w:rPr>
          <w:rFonts w:ascii="Arial" w:cs="Arial" w:eastAsia="Arial" w:hAnsi="Arial"/>
          <w:b w:val="1"/>
          <w:sz w:val="22"/>
          <w:szCs w:val="22"/>
          <w:u w:val="single"/>
          <w:rtl w:val="0"/>
        </w:rPr>
        <w:t xml:space="preserve">).  The Level II and III minimum monthly salaries are computed from the minimum monthly salary as shown in the table above.</w:t>
      </w:r>
      <w:r w:rsidDel="00000000" w:rsidR="00000000" w:rsidRPr="00000000">
        <w:rPr>
          <w:rFonts w:ascii="Arial" w:cs="Arial" w:eastAsia="Arial" w:hAnsi="Arial"/>
          <w:i w:val="0"/>
          <w:smallCaps w:val="0"/>
          <w:strike w:val="1"/>
          <w:color w:val="000000"/>
          <w:sz w:val="22"/>
          <w:szCs w:val="22"/>
          <w:u w:val="none"/>
          <w:shd w:fill="auto" w:val="clear"/>
          <w:vertAlign w:val="baseline"/>
          <w:rtl w:val="0"/>
        </w:rPr>
        <w:t xml:space="preserve">based on the annual salary rate and will be prorated for FTE.  Effective September 16, 201</w:t>
      </w:r>
      <w:r w:rsidDel="00000000" w:rsidR="00000000" w:rsidRPr="00000000">
        <w:rPr>
          <w:rFonts w:ascii="Arial" w:cs="Arial" w:eastAsia="Arial" w:hAnsi="Arial"/>
          <w:strike w:val="1"/>
          <w:sz w:val="22"/>
          <w:szCs w:val="22"/>
          <w:rtl w:val="0"/>
        </w:rPr>
        <w:t xml:space="preserve">7</w:t>
      </w:r>
      <w:r w:rsidDel="00000000" w:rsidR="00000000" w:rsidRPr="00000000">
        <w:rPr>
          <w:rFonts w:ascii="Arial" w:cs="Arial" w:eastAsia="Arial" w:hAnsi="Arial"/>
          <w:i w:val="0"/>
          <w:smallCaps w:val="0"/>
          <w:strike w:val="1"/>
          <w:color w:val="000000"/>
          <w:sz w:val="22"/>
          <w:szCs w:val="22"/>
          <w:u w:val="none"/>
          <w:shd w:fill="auto" w:val="clear"/>
          <w:vertAlign w:val="baseline"/>
          <w:rtl w:val="0"/>
        </w:rPr>
        <w:t xml:space="preserve">, the minimum annual salary rate at 1.0 F</w:t>
      </w:r>
      <w:r w:rsidDel="00000000" w:rsidR="00000000" w:rsidRPr="00000000">
        <w:rPr>
          <w:rFonts w:ascii="Arial" w:cs="Arial" w:eastAsia="Arial" w:hAnsi="Arial"/>
          <w:strike w:val="1"/>
          <w:sz w:val="22"/>
          <w:szCs w:val="22"/>
          <w:rtl w:val="0"/>
        </w:rPr>
        <w:t xml:space="preserve">TE</w:t>
      </w:r>
      <w:r w:rsidDel="00000000" w:rsidR="00000000" w:rsidRPr="00000000">
        <w:rPr>
          <w:rFonts w:ascii="Arial" w:cs="Arial" w:eastAsia="Arial" w:hAnsi="Arial"/>
          <w:i w:val="0"/>
          <w:smallCaps w:val="0"/>
          <w:strike w:val="1"/>
          <w:color w:val="000000"/>
          <w:sz w:val="22"/>
          <w:szCs w:val="22"/>
          <w:u w:val="none"/>
          <w:shd w:fill="auto" w:val="clear"/>
          <w:vertAlign w:val="baseline"/>
          <w:rtl w:val="0"/>
        </w:rPr>
        <w:t xml:space="preserve"> shall be $28,400 for 12-month graduate assistant appointments and $21,300 for 9-month graduate assistant appointments</w:t>
      </w:r>
      <w:r w:rsidDel="00000000" w:rsidR="00000000" w:rsidRPr="00000000">
        <w:rPr>
          <w:rFonts w:ascii="Arial" w:cs="Arial" w:eastAsia="Arial" w:hAnsi="Arial"/>
          <w:i w:val="0"/>
          <w:smallCaps w:val="0"/>
          <w:strike w:val="1"/>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1"/>
        <w:jc w:val="left"/>
        <w:rPr>
          <w:b w:val="1"/>
          <w:sz w:val="22"/>
          <w:szCs w:val="22"/>
        </w:rPr>
      </w:pPr>
      <w:r w:rsidDel="00000000" w:rsidR="00000000" w:rsidRPr="00000000">
        <w:rPr>
          <w:rFonts w:ascii="Arial" w:cs="Arial" w:eastAsia="Arial" w:hAnsi="Arial"/>
          <w:b w:val="1"/>
          <w:sz w:val="22"/>
          <w:szCs w:val="22"/>
          <w:u w:val="single"/>
          <w:rtl w:val="0"/>
        </w:rPr>
        <w:t xml:space="preserve">The minimum hourly rate for the 2017/2018 academic year will be $13.65 at Level I, and the Level II and III hourly rates are computed from the minimum hourly rate as shown in the table above.</w:t>
        <w:br w:type="textWrapping"/>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1"/>
        <w:jc w:val="left"/>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On the first day of employment of the Fall appointment period (September 16) of each year, the minimum hourly rate shall increase at the same rate as the Cost of Living Adjustment in Section SALARY_ARTICLE.COLA_SECTION.</w:t>
      </w:r>
    </w:p>
    <w:p w:rsidR="00000000" w:rsidDel="00000000" w:rsidP="00000000" w:rsidRDefault="00000000" w:rsidRPr="00000000">
      <w:pPr>
        <w:spacing w:line="276" w:lineRule="auto"/>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SALARY_ARTICLE.LEVEL_ADVANCEMENT – Level Advancement</w:t>
      </w:r>
      <w:r w:rsidDel="00000000" w:rsidR="00000000" w:rsidRPr="00000000">
        <w:rPr>
          <w:rFonts w:ascii="Arial" w:cs="Arial" w:eastAsia="Arial" w:hAnsi="Arial"/>
          <w:b w:val="1"/>
          <w:sz w:val="22"/>
          <w:szCs w:val="22"/>
          <w:u w:val="single"/>
          <w:rtl w:val="0"/>
        </w:rPr>
        <w:t xml:space="preserve">:</w:t>
      </w:r>
    </w:p>
    <w:p w:rsidR="00000000" w:rsidDel="00000000" w:rsidP="00000000" w:rsidRDefault="00000000" w:rsidRPr="00000000">
      <w:pPr>
        <w:spacing w:line="276" w:lineRule="auto"/>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numPr>
          <w:ilvl w:val="0"/>
          <w:numId w:val="2"/>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GAs who advance a level will receive a minimum of a 5% raise to their salary or a monthly salary equal to the minimum monthly salary for that level, whichever is </w:t>
      </w:r>
      <w:r w:rsidDel="00000000" w:rsidR="00000000" w:rsidRPr="00000000">
        <w:rPr>
          <w:rFonts w:ascii="Arial" w:cs="Arial" w:eastAsia="Arial" w:hAnsi="Arial"/>
          <w:b w:val="1"/>
          <w:sz w:val="22"/>
          <w:szCs w:val="22"/>
          <w:u w:val="single"/>
          <w:rtl w:val="0"/>
        </w:rPr>
        <w:t xml:space="preserve">greater</w:t>
      </w: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pPr>
        <w:numPr>
          <w:ilvl w:val="0"/>
          <w:numId w:val="2"/>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GAs who are entering a master’s or doctoral program and meet one of the qualifications of Level II or above and whom the University deems to have equivalent experience shall be appointed at no lower than Level II.</w:t>
      </w:r>
    </w:p>
    <w:p w:rsidR="00000000" w:rsidDel="00000000" w:rsidP="00000000" w:rsidRDefault="00000000" w:rsidRPr="00000000">
      <w:pPr>
        <w:numPr>
          <w:ilvl w:val="0"/>
          <w:numId w:val="2"/>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GAs shall be advanced to the appropriate level of the salary scale in the first pay period of the term immediately following the term during which the criteria for advancement were met. GAs will receive back pay taking the raise into account for all pay periods from when criteria for advancement were met until the implementation pay period.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right="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trike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i w:val="0"/>
          <w:smallCaps w:val="0"/>
          <w:strike w:val="1"/>
          <w:color w:val="000000"/>
          <w:sz w:val="22"/>
          <w:szCs w:val="22"/>
          <w:u w:val="single"/>
          <w:shd w:fill="auto" w:val="clear"/>
          <w:vertAlign w:val="baseline"/>
        </w:rPr>
      </w:pPr>
      <w:r w:rsidDel="00000000" w:rsidR="00000000" w:rsidRPr="00000000">
        <w:rPr>
          <w:rFonts w:ascii="Arial" w:cs="Arial" w:eastAsia="Arial" w:hAnsi="Arial"/>
          <w:b w:val="1"/>
          <w:i w:val="0"/>
          <w:smallCaps w:val="0"/>
          <w:strike w:val="1"/>
          <w:color w:val="000000"/>
          <w:sz w:val="22"/>
          <w:szCs w:val="22"/>
          <w:u w:val="single"/>
          <w:shd w:fill="auto" w:val="clear"/>
          <w:vertAlign w:val="baseline"/>
          <w:rtl w:val="0"/>
        </w:rPr>
        <w:t xml:space="preserve">Section </w:t>
      </w:r>
      <w:r w:rsidDel="00000000" w:rsidR="00000000" w:rsidRPr="00000000">
        <w:rPr>
          <w:rFonts w:ascii="Arial" w:cs="Arial" w:eastAsia="Arial" w:hAnsi="Arial"/>
          <w:b w:val="1"/>
          <w:strike w:val="1"/>
          <w:sz w:val="22"/>
          <w:szCs w:val="22"/>
          <w:u w:val="single"/>
          <w:rtl w:val="0"/>
        </w:rPr>
        <w:t xml:space="preserve">2</w:t>
      </w:r>
      <w:r w:rsidDel="00000000" w:rsidR="00000000" w:rsidRPr="00000000">
        <w:rPr>
          <w:rFonts w:ascii="Arial" w:cs="Arial" w:eastAsia="Arial" w:hAnsi="Arial"/>
          <w:b w:val="1"/>
          <w:i w:val="0"/>
          <w:smallCaps w:val="0"/>
          <w:strike w:val="1"/>
          <w:color w:val="000000"/>
          <w:sz w:val="22"/>
          <w:szCs w:val="22"/>
          <w:u w:val="single"/>
          <w:shd w:fill="auto" w:val="clear"/>
          <w:vertAlign w:val="baseline"/>
          <w:rtl w:val="0"/>
        </w:rPr>
        <w:t xml:space="preserve"> – Salary Increases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rFonts w:ascii="Arial" w:cs="Arial" w:eastAsia="Arial" w:hAnsi="Arial"/>
          <w:i w:val="0"/>
          <w:smallCaps w:val="0"/>
          <w:strike w:val="1"/>
          <w:color w:val="000000"/>
          <w:sz w:val="22"/>
          <w:szCs w:val="22"/>
          <w:shd w:fill="auto" w:val="clear"/>
          <w:vertAlign w:val="baseline"/>
        </w:rPr>
      </w:pPr>
      <w:r w:rsidDel="00000000" w:rsidR="00000000" w:rsidRPr="00000000">
        <w:rPr>
          <w:rFonts w:ascii="Arial" w:cs="Arial" w:eastAsia="Arial" w:hAnsi="Arial"/>
          <w:strike w:val="1"/>
          <w:sz w:val="22"/>
          <w:szCs w:val="22"/>
          <w:rtl w:val="0"/>
        </w:rPr>
        <w:t xml:space="preserve">At the beginning of the first term following a 90-day implementation period after ratification by both parties</w:t>
      </w:r>
      <w:r w:rsidDel="00000000" w:rsidR="00000000" w:rsidRPr="00000000">
        <w:rPr>
          <w:rFonts w:ascii="Arial" w:cs="Arial" w:eastAsia="Arial" w:hAnsi="Arial"/>
          <w:i w:val="0"/>
          <w:smallCaps w:val="0"/>
          <w:strike w:val="1"/>
          <w:color w:val="000000"/>
          <w:sz w:val="22"/>
          <w:szCs w:val="22"/>
          <w:u w:val="none"/>
          <w:shd w:fill="auto" w:val="clear"/>
          <w:vertAlign w:val="baseline"/>
          <w:rtl w:val="0"/>
        </w:rPr>
        <w:t xml:space="preserve">, and for the period until September 15, 2018, the minimum annual salary rate for 12-month and 9-month graduate assistant appointments will increase by 5.63%.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left"/>
        <w:rPr>
          <w:rFonts w:ascii="Arial" w:cs="Arial" w:eastAsia="Arial" w:hAnsi="Arial"/>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rFonts w:ascii="Arial" w:cs="Arial" w:eastAsia="Arial" w:hAnsi="Arial"/>
          <w:i w:val="0"/>
          <w:smallCaps w:val="0"/>
          <w:strike w:val="1"/>
          <w:color w:val="000000"/>
          <w:sz w:val="22"/>
          <w:szCs w:val="22"/>
          <w:shd w:fill="auto" w:val="clear"/>
          <w:vertAlign w:val="baseline"/>
        </w:rPr>
      </w:pPr>
      <w:r w:rsidDel="00000000" w:rsidR="00000000" w:rsidRPr="00000000">
        <w:rPr>
          <w:rFonts w:ascii="Arial" w:cs="Arial" w:eastAsia="Arial" w:hAnsi="Arial"/>
          <w:i w:val="0"/>
          <w:smallCaps w:val="0"/>
          <w:strike w:val="1"/>
          <w:color w:val="000000"/>
          <w:sz w:val="22"/>
          <w:szCs w:val="22"/>
          <w:u w:val="none"/>
          <w:shd w:fill="auto" w:val="clear"/>
          <w:vertAlign w:val="baseline"/>
          <w:rtl w:val="0"/>
        </w:rPr>
        <w:t xml:space="preserve">Effective September 16, 2018 and for the period until September 15, 2019, the minimum annual salary rate for 12-month and 9-month graduate assistant appointments will increase by 3.33%.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left"/>
        <w:rPr>
          <w:rFonts w:ascii="Arial" w:cs="Arial" w:eastAsia="Arial" w:hAnsi="Arial"/>
          <w:i w:val="0"/>
          <w:smallCaps w:val="0"/>
          <w:strike w:val="1"/>
          <w:color w:val="000000"/>
          <w:sz w:val="22"/>
          <w:szCs w:val="22"/>
          <w:shd w:fill="auto" w:val="clear"/>
          <w:vertAlign w:val="baseline"/>
        </w:rPr>
      </w:pPr>
      <w:r w:rsidDel="00000000" w:rsidR="00000000" w:rsidRPr="00000000">
        <w:rPr>
          <w:rFonts w:ascii="Arial" w:cs="Arial" w:eastAsia="Arial" w:hAnsi="Arial"/>
          <w:i w:val="0"/>
          <w:smallCaps w:val="0"/>
          <w:strike w:val="1"/>
          <w:color w:val="000000"/>
          <w:sz w:val="22"/>
          <w:szCs w:val="22"/>
          <w:u w:val="none"/>
          <w:shd w:fill="auto" w:val="clear"/>
          <w:vertAlign w:val="baseline"/>
          <w:rtl w:val="0"/>
        </w:rPr>
        <w:t xml:space="preserve">Effective September 16, 2019 and for the period until September 15, 2020, the minimum annual salary rate for 12-month and 9-month graduate assistant appointments will increase by 3.23%.</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left"/>
        <w:rPr>
          <w:rFonts w:ascii="Arial" w:cs="Arial" w:eastAsia="Arial" w:hAnsi="Arial"/>
          <w:i w:val="0"/>
          <w:smallCaps w:val="0"/>
          <w:strike w:val="1"/>
          <w:color w:val="000000"/>
          <w:sz w:val="22"/>
          <w:szCs w:val="22"/>
          <w:shd w:fill="auto" w:val="clear"/>
          <w:vertAlign w:val="baseline"/>
        </w:rPr>
      </w:pPr>
      <w:r w:rsidDel="00000000" w:rsidR="00000000" w:rsidRPr="00000000">
        <w:rPr>
          <w:rFonts w:ascii="Arial" w:cs="Arial" w:eastAsia="Arial" w:hAnsi="Arial"/>
          <w:i w:val="0"/>
          <w:smallCaps w:val="0"/>
          <w:strike w:val="1"/>
          <w:color w:val="000000"/>
          <w:sz w:val="22"/>
          <w:szCs w:val="22"/>
          <w:u w:val="none"/>
          <w:shd w:fill="auto" w:val="clear"/>
          <w:vertAlign w:val="baseline"/>
          <w:rtl w:val="0"/>
        </w:rPr>
        <w:t xml:space="preserve">Effective September 16, 2020 and for the period until September 15, 2021, the minimum annual salary rate for 12-month and 9-month graduate assistant appointments will increase by 3.13%.</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left"/>
        <w:rPr>
          <w:rFonts w:ascii="Arial" w:cs="Arial" w:eastAsia="Arial" w:hAnsi="Arial"/>
          <w:i w:val="0"/>
          <w:smallCaps w:val="0"/>
          <w:strike w:val="1"/>
          <w:color w:val="000000"/>
          <w:sz w:val="22"/>
          <w:szCs w:val="22"/>
          <w:shd w:fill="auto" w:val="clear"/>
          <w:vertAlign w:val="baseline"/>
        </w:rPr>
      </w:pPr>
      <w:r w:rsidDel="00000000" w:rsidR="00000000" w:rsidRPr="00000000">
        <w:rPr>
          <w:rFonts w:ascii="Arial" w:cs="Arial" w:eastAsia="Arial" w:hAnsi="Arial"/>
          <w:i w:val="0"/>
          <w:smallCaps w:val="0"/>
          <w:strike w:val="1"/>
          <w:color w:val="000000"/>
          <w:sz w:val="22"/>
          <w:szCs w:val="22"/>
          <w:u w:val="none"/>
          <w:shd w:fill="auto" w:val="clear"/>
          <w:vertAlign w:val="baseline"/>
          <w:rtl w:val="0"/>
        </w:rPr>
        <w:t xml:space="preserve">Effective September 16, 2021 and for the period until September 15, 2022, the minimum annual salary rate for 12-month and 9-month graduate assistant appointments will increase by 3.03%.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bookmarkStart w:colFirst="0" w:colLast="0" w:name="_gjdgxs" w:id="0"/>
      <w:bookmarkEnd w:id="0"/>
      <w:r w:rsidDel="00000000" w:rsidR="00000000" w:rsidRPr="00000000">
        <w:rPr>
          <w:rtl w:val="0"/>
        </w:rPr>
      </w:r>
    </w:p>
    <w:tbl>
      <w:tblPr>
        <w:tblStyle w:val="Table2"/>
        <w:tblW w:w="8985.0" w:type="dxa"/>
        <w:jc w:val="left"/>
        <w:tblInd w:w="30.0" w:type="dxa"/>
        <w:tblLayout w:type="fixed"/>
        <w:tblLook w:val="0400"/>
      </w:tblPr>
      <w:tblGrid>
        <w:gridCol w:w="2310"/>
        <w:gridCol w:w="2235"/>
        <w:gridCol w:w="2220"/>
        <w:gridCol w:w="2220"/>
        <w:tblGridChange w:id="0">
          <w:tblGrid>
            <w:gridCol w:w="2310"/>
            <w:gridCol w:w="2235"/>
            <w:gridCol w:w="2220"/>
            <w:gridCol w:w="2220"/>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strike w:val="1"/>
                <w:color w:val="000000"/>
                <w:sz w:val="22"/>
                <w:szCs w:val="22"/>
              </w:rPr>
            </w:pPr>
            <w:r w:rsidDel="00000000" w:rsidR="00000000" w:rsidRPr="00000000">
              <w:rPr>
                <w:rFonts w:ascii="Arial" w:cs="Arial" w:eastAsia="Arial" w:hAnsi="Arial"/>
                <w:b w:val="1"/>
                <w:strike w:val="1"/>
                <w:color w:val="000000"/>
                <w:sz w:val="22"/>
                <w:szCs w:val="22"/>
                <w:rtl w:val="0"/>
              </w:rPr>
              <w:t xml:space="preserve">Term of Appointment</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strike w:val="1"/>
                <w:color w:val="000000"/>
                <w:sz w:val="22"/>
                <w:szCs w:val="22"/>
              </w:rPr>
            </w:pPr>
            <w:r w:rsidDel="00000000" w:rsidR="00000000" w:rsidRPr="00000000">
              <w:rPr>
                <w:rFonts w:ascii="Arial" w:cs="Arial" w:eastAsia="Arial" w:hAnsi="Arial"/>
                <w:b w:val="1"/>
                <w:strike w:val="1"/>
                <w:color w:val="000000"/>
                <w:sz w:val="22"/>
                <w:szCs w:val="22"/>
                <w:rtl w:val="0"/>
              </w:rPr>
              <w:t xml:space="preserve">Effective Dates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strike w:val="1"/>
                <w:color w:val="000000"/>
                <w:sz w:val="22"/>
                <w:szCs w:val="22"/>
              </w:rPr>
            </w:pPr>
            <w:r w:rsidDel="00000000" w:rsidR="00000000" w:rsidRPr="00000000">
              <w:rPr>
                <w:rFonts w:ascii="Arial" w:cs="Arial" w:eastAsia="Arial" w:hAnsi="Arial"/>
                <w:b w:val="1"/>
                <w:strike w:val="1"/>
                <w:color w:val="000000"/>
                <w:sz w:val="22"/>
                <w:szCs w:val="22"/>
                <w:rtl w:val="0"/>
              </w:rPr>
              <w:t xml:space="preserve">Minimum Annual Salary Rate at </w:t>
            </w:r>
          </w:p>
          <w:p w:rsidR="00000000" w:rsidDel="00000000" w:rsidP="00000000" w:rsidRDefault="00000000" w:rsidRPr="00000000">
            <w:pPr>
              <w:contextualSpacing w:val="0"/>
              <w:jc w:val="center"/>
              <w:rPr>
                <w:rFonts w:ascii="Arial" w:cs="Arial" w:eastAsia="Arial" w:hAnsi="Arial"/>
                <w:b w:val="1"/>
                <w:strike w:val="1"/>
                <w:color w:val="000000"/>
                <w:sz w:val="22"/>
                <w:szCs w:val="22"/>
              </w:rPr>
            </w:pPr>
            <w:r w:rsidDel="00000000" w:rsidR="00000000" w:rsidRPr="00000000">
              <w:rPr>
                <w:rFonts w:ascii="Arial" w:cs="Arial" w:eastAsia="Arial" w:hAnsi="Arial"/>
                <w:b w:val="1"/>
                <w:strike w:val="1"/>
                <w:color w:val="000000"/>
                <w:sz w:val="22"/>
                <w:szCs w:val="22"/>
                <w:rtl w:val="0"/>
              </w:rPr>
              <w:t xml:space="preserve">1.0</w:t>
            </w:r>
            <w:r w:rsidDel="00000000" w:rsidR="00000000" w:rsidRPr="00000000">
              <w:rPr>
                <w:rFonts w:ascii="Arial" w:cs="Arial" w:eastAsia="Arial" w:hAnsi="Arial"/>
                <w:b w:val="1"/>
                <w:strike w:val="1"/>
                <w:sz w:val="22"/>
                <w:szCs w:val="22"/>
                <w:rtl w:val="0"/>
              </w:rPr>
              <w:t xml:space="preserve"> FTE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strike w:val="1"/>
                <w:color w:val="000000"/>
                <w:sz w:val="22"/>
                <w:szCs w:val="22"/>
              </w:rPr>
            </w:pPr>
            <w:r w:rsidDel="00000000" w:rsidR="00000000" w:rsidRPr="00000000">
              <w:rPr>
                <w:rFonts w:ascii="Arial" w:cs="Arial" w:eastAsia="Arial" w:hAnsi="Arial"/>
                <w:b w:val="1"/>
                <w:strike w:val="1"/>
                <w:color w:val="000000"/>
                <w:sz w:val="22"/>
                <w:szCs w:val="22"/>
                <w:rtl w:val="0"/>
              </w:rPr>
              <w:t xml:space="preserve">Increase Amount</w:t>
            </w:r>
          </w:p>
        </w:tc>
      </w:tr>
      <w:tr>
        <w:trPr>
          <w:trHeight w:val="360" w:hRule="atLeast"/>
        </w:trPr>
        <w:tc>
          <w:tcPr>
            <w:gridSpan w:val="4"/>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strike w:val="1"/>
                <w:color w:val="000000"/>
                <w:sz w:val="22"/>
                <w:szCs w:val="22"/>
              </w:rPr>
            </w:pPr>
            <w:r w:rsidDel="00000000" w:rsidR="00000000" w:rsidRPr="00000000">
              <w:rPr>
                <w:rFonts w:ascii="Arial" w:cs="Arial" w:eastAsia="Arial" w:hAnsi="Arial"/>
                <w:b w:val="1"/>
                <w:strike w:val="1"/>
                <w:color w:val="000000"/>
                <w:sz w:val="22"/>
                <w:szCs w:val="22"/>
                <w:rtl w:val="0"/>
              </w:rPr>
              <w:t xml:space="preserve">2017-18 Salary Rates </w:t>
            </w:r>
            <w:r w:rsidDel="00000000" w:rsidR="00000000" w:rsidRPr="00000000">
              <w:rPr>
                <w:rFonts w:ascii="Arial" w:cs="Arial" w:eastAsia="Arial" w:hAnsi="Arial"/>
                <w:strike w:val="1"/>
                <w:color w:val="000000"/>
                <w:sz w:val="22"/>
                <w:szCs w:val="22"/>
                <w:rtl w:val="0"/>
              </w:rPr>
              <w:t xml:space="preserve"> </w:t>
            </w:r>
            <w:r w:rsidDel="00000000" w:rsidR="00000000" w:rsidRPr="00000000">
              <w:rPr>
                <w:rtl w:val="0"/>
              </w:rPr>
            </w:r>
          </w:p>
        </w:tc>
      </w:tr>
      <w:tr>
        <w:trPr>
          <w:trHeight w:val="9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September 16, 2017 until ratification by both parties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sz w:val="22"/>
                <w:szCs w:val="22"/>
              </w:rPr>
            </w:pPr>
            <w:r w:rsidDel="00000000" w:rsidR="00000000" w:rsidRPr="00000000">
              <w:rPr>
                <w:rFonts w:ascii="Arial" w:cs="Arial" w:eastAsia="Arial" w:hAnsi="Arial"/>
                <w:strike w:val="1"/>
                <w:color w:val="000000"/>
                <w:sz w:val="22"/>
                <w:szCs w:val="22"/>
                <w:rtl w:val="0"/>
              </w:rPr>
              <w:t xml:space="preserve">$28,400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NA</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$21,300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NA</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$13.65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NA</w:t>
            </w:r>
          </w:p>
        </w:tc>
      </w:tr>
      <w:tr>
        <w:trPr>
          <w:trHeight w:val="96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strike w:val="1"/>
                <w:color w:val="000000"/>
                <w:sz w:val="22"/>
                <w:szCs w:val="22"/>
              </w:rPr>
            </w:pPr>
            <w:r w:rsidDel="00000000" w:rsidR="00000000" w:rsidRPr="00000000">
              <w:rPr>
                <w:rFonts w:ascii="Arial" w:cs="Arial" w:eastAsia="Arial" w:hAnsi="Arial"/>
                <w:b w:val="1"/>
                <w:strike w:val="1"/>
                <w:sz w:val="22"/>
                <w:szCs w:val="22"/>
                <w:rtl w:val="0"/>
              </w:rPr>
              <w:t xml:space="preserve">At the beginning of the first term following a 90-day implementation period after ratification by both parties</w:t>
            </w:r>
            <w:r w:rsidDel="00000000" w:rsidR="00000000" w:rsidRPr="00000000">
              <w:rPr>
                <w:rFonts w:ascii="Arial" w:cs="Arial" w:eastAsia="Arial" w:hAnsi="Arial"/>
                <w:b w:val="1"/>
                <w:strike w:val="1"/>
                <w:color w:val="000000"/>
                <w:sz w:val="22"/>
                <w:szCs w:val="22"/>
                <w:rtl w:val="0"/>
              </w:rPr>
              <w:t xml:space="preserve"> through September 15, 2018</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strike w:val="1"/>
                <w:color w:val="000000"/>
                <w:sz w:val="22"/>
                <w:szCs w:val="22"/>
              </w:rPr>
            </w:pPr>
            <w:r w:rsidDel="00000000" w:rsidR="00000000" w:rsidRPr="00000000">
              <w:rPr>
                <w:rFonts w:ascii="Arial" w:cs="Arial" w:eastAsia="Arial" w:hAnsi="Arial"/>
                <w:b w:val="1"/>
                <w:strike w:val="1"/>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 </w:t>
            </w:r>
          </w:p>
        </w:tc>
      </w:tr>
      <w:tr>
        <w:trPr>
          <w:trHeight w:val="128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Ratification by Both Parties through September 15, 2018</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$30,000</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5.63%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sz w:val="22"/>
                <w:szCs w:val="22"/>
                <w:rtl w:val="0"/>
              </w:rPr>
              <w:t xml:space="preserve">$22,500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5.63%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$14.42</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 </w:t>
            </w:r>
          </w:p>
        </w:tc>
      </w:tr>
      <w:tr>
        <w:trPr>
          <w:trHeight w:val="320" w:hRule="atLeast"/>
        </w:trPr>
        <w:tc>
          <w:tcPr>
            <w:gridSpan w:val="4"/>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strike w:val="1"/>
                <w:color w:val="000000"/>
                <w:sz w:val="22"/>
                <w:szCs w:val="22"/>
              </w:rPr>
            </w:pPr>
            <w:r w:rsidDel="00000000" w:rsidR="00000000" w:rsidRPr="00000000">
              <w:rPr>
                <w:rFonts w:ascii="Arial" w:cs="Arial" w:eastAsia="Arial" w:hAnsi="Arial"/>
                <w:b w:val="1"/>
                <w:strike w:val="1"/>
                <w:color w:val="000000"/>
                <w:sz w:val="22"/>
                <w:szCs w:val="22"/>
                <w:rtl w:val="0"/>
              </w:rPr>
              <w:t xml:space="preserve">2018-19 Salary Rates</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September 16, 2018 through September 15, 2019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$31,000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3.33%</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$23,</w:t>
            </w:r>
            <w:r w:rsidDel="00000000" w:rsidR="00000000" w:rsidRPr="00000000">
              <w:rPr>
                <w:rFonts w:ascii="Arial" w:cs="Arial" w:eastAsia="Arial" w:hAnsi="Arial"/>
                <w:strike w:val="1"/>
                <w:sz w:val="22"/>
                <w:szCs w:val="22"/>
                <w:rtl w:val="0"/>
              </w:rPr>
              <w:t xml:space="preserve">250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3.33%</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$14.90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 </w:t>
            </w:r>
          </w:p>
        </w:tc>
      </w:tr>
      <w:tr>
        <w:trPr>
          <w:trHeight w:val="320" w:hRule="atLeast"/>
        </w:trPr>
        <w:tc>
          <w:tcPr>
            <w:gridSpan w:val="4"/>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strike w:val="1"/>
                <w:color w:val="000000"/>
                <w:sz w:val="22"/>
                <w:szCs w:val="22"/>
              </w:rPr>
            </w:pPr>
            <w:r w:rsidDel="00000000" w:rsidR="00000000" w:rsidRPr="00000000">
              <w:rPr>
                <w:rFonts w:ascii="Arial" w:cs="Arial" w:eastAsia="Arial" w:hAnsi="Arial"/>
                <w:b w:val="1"/>
                <w:strike w:val="1"/>
                <w:color w:val="000000"/>
                <w:sz w:val="22"/>
                <w:szCs w:val="22"/>
                <w:rtl w:val="0"/>
              </w:rPr>
              <w:t xml:space="preserve">2019-20 Salary Rates</w:t>
            </w:r>
            <w:r w:rsidDel="00000000" w:rsidR="00000000" w:rsidRPr="00000000">
              <w:rPr>
                <w:rFonts w:ascii="Arial" w:cs="Arial" w:eastAsia="Arial" w:hAnsi="Arial"/>
                <w:strike w:val="1"/>
                <w:color w:val="000000"/>
                <w:sz w:val="22"/>
                <w:szCs w:val="22"/>
                <w:rtl w:val="0"/>
              </w:rPr>
              <w:t xml:space="preserve"> </w:t>
            </w: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September 16, 2019 through September 15, 2020</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$32,000.00</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3.23%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$24,024.14</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3.23%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$15.38</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 </w:t>
            </w:r>
          </w:p>
        </w:tc>
      </w:tr>
      <w:tr>
        <w:trPr>
          <w:trHeight w:val="320" w:hRule="atLeast"/>
        </w:trPr>
        <w:tc>
          <w:tcPr>
            <w:gridSpan w:val="4"/>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strike w:val="1"/>
                <w:color w:val="000000"/>
                <w:sz w:val="22"/>
                <w:szCs w:val="22"/>
              </w:rPr>
            </w:pPr>
            <w:r w:rsidDel="00000000" w:rsidR="00000000" w:rsidRPr="00000000">
              <w:rPr>
                <w:rFonts w:ascii="Arial" w:cs="Arial" w:eastAsia="Arial" w:hAnsi="Arial"/>
                <w:b w:val="1"/>
                <w:strike w:val="1"/>
                <w:color w:val="000000"/>
                <w:sz w:val="22"/>
                <w:szCs w:val="22"/>
                <w:rtl w:val="0"/>
              </w:rPr>
              <w:t xml:space="preserve">2020-21 Salary Rates</w:t>
            </w:r>
            <w:r w:rsidDel="00000000" w:rsidR="00000000" w:rsidRPr="00000000">
              <w:rPr>
                <w:rFonts w:ascii="Arial" w:cs="Arial" w:eastAsia="Arial" w:hAnsi="Arial"/>
                <w:strike w:val="1"/>
                <w:color w:val="000000"/>
                <w:sz w:val="22"/>
                <w:szCs w:val="22"/>
                <w:rtl w:val="0"/>
              </w:rPr>
              <w:t xml:space="preserve"> </w:t>
            </w: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September 16, 2020 through September 15, 2021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$33,000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3.13%</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$24,7</w:t>
            </w:r>
            <w:r w:rsidDel="00000000" w:rsidR="00000000" w:rsidRPr="00000000">
              <w:rPr>
                <w:rFonts w:ascii="Arial" w:cs="Arial" w:eastAsia="Arial" w:hAnsi="Arial"/>
                <w:strike w:val="1"/>
                <w:sz w:val="22"/>
                <w:szCs w:val="22"/>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3.1</w:t>
            </w:r>
            <w:r w:rsidDel="00000000" w:rsidR="00000000" w:rsidRPr="00000000">
              <w:rPr>
                <w:rFonts w:ascii="Arial" w:cs="Arial" w:eastAsia="Arial" w:hAnsi="Arial"/>
                <w:strike w:val="1"/>
                <w:sz w:val="22"/>
                <w:szCs w:val="22"/>
                <w:rtl w:val="0"/>
              </w:rPr>
              <w:t xml:space="preserve">3</w:t>
            </w:r>
            <w:r w:rsidDel="00000000" w:rsidR="00000000" w:rsidRPr="00000000">
              <w:rPr>
                <w:rFonts w:ascii="Arial" w:cs="Arial" w:eastAsia="Arial" w:hAnsi="Arial"/>
                <w:strike w:val="1"/>
                <w:color w:val="000000"/>
                <w:sz w:val="22"/>
                <w:szCs w:val="22"/>
                <w:rtl w:val="0"/>
              </w:rPr>
              <w:t xml:space="preserve">%</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$15.87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 </w:t>
            </w:r>
          </w:p>
        </w:tc>
      </w:tr>
      <w:tr>
        <w:trPr>
          <w:trHeight w:val="320" w:hRule="atLeast"/>
        </w:trPr>
        <w:tc>
          <w:tcPr>
            <w:gridSpan w:val="4"/>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strike w:val="1"/>
                <w:color w:val="000000"/>
                <w:sz w:val="22"/>
                <w:szCs w:val="22"/>
              </w:rPr>
            </w:pPr>
            <w:r w:rsidDel="00000000" w:rsidR="00000000" w:rsidRPr="00000000">
              <w:rPr>
                <w:rFonts w:ascii="Arial" w:cs="Arial" w:eastAsia="Arial" w:hAnsi="Arial"/>
                <w:b w:val="1"/>
                <w:strike w:val="1"/>
                <w:color w:val="000000"/>
                <w:sz w:val="22"/>
                <w:szCs w:val="22"/>
                <w:rtl w:val="0"/>
              </w:rPr>
              <w:t xml:space="preserve">2021-22 Salary Rates</w:t>
            </w:r>
            <w:r w:rsidDel="00000000" w:rsidR="00000000" w:rsidRPr="00000000">
              <w:rPr>
                <w:rFonts w:ascii="Arial" w:cs="Arial" w:eastAsia="Arial" w:hAnsi="Arial"/>
                <w:strike w:val="1"/>
                <w:color w:val="000000"/>
                <w:sz w:val="22"/>
                <w:szCs w:val="22"/>
                <w:rtl w:val="0"/>
              </w:rPr>
              <w:t xml:space="preserve"> </w:t>
            </w: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September 16, 2021 through September 15, 2022</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$34,000</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3.03%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$25,5</w:t>
            </w:r>
            <w:r w:rsidDel="00000000" w:rsidR="00000000" w:rsidRPr="00000000">
              <w:rPr>
                <w:rFonts w:ascii="Arial" w:cs="Arial" w:eastAsia="Arial" w:hAnsi="Arial"/>
                <w:strike w:val="1"/>
                <w:sz w:val="22"/>
                <w:szCs w:val="22"/>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3.03%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$16.35</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 </w:t>
            </w:r>
          </w:p>
        </w:tc>
      </w:tr>
    </w:tbl>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SALARY_ARTICLE.CATCH_UP_SECTION - Catch up Cost of Living Adjustment (COLA)</w:t>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All GAs employed during the 2017-2018 academic year will receive a one-time combined increase of $105 to their most recent monthly salary for current and subsequent appointments for the pay period during which ratification occurs.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SALARY_ARTICLE.COLA_SECTION - Cost Of Living Adjustment (COLA)</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Effective the first day of employment of the Fall 2018 employment period (September 16, 2018</w:t>
      </w:r>
      <w:r w:rsidDel="00000000" w:rsidR="00000000" w:rsidRPr="00000000">
        <w:rPr>
          <w:rFonts w:ascii="Arial" w:cs="Arial" w:eastAsia="Arial" w:hAnsi="Arial"/>
          <w:b w:val="1"/>
          <w:sz w:val="22"/>
          <w:szCs w:val="22"/>
          <w:u w:val="single"/>
          <w:rtl w:val="0"/>
        </w:rPr>
        <w:t xml:space="preserve">)</w:t>
      </w:r>
      <w:r w:rsidDel="00000000" w:rsidR="00000000" w:rsidRPr="00000000">
        <w:rPr>
          <w:rFonts w:ascii="Arial" w:cs="Arial" w:eastAsia="Arial" w:hAnsi="Arial"/>
          <w:b w:val="1"/>
          <w:sz w:val="22"/>
          <w:szCs w:val="22"/>
          <w:u w:val="single"/>
          <w:rtl w:val="0"/>
        </w:rPr>
        <w:t xml:space="preserve">, all GAs who were employed for any term during the previous academic year will receive a</w:t>
      </w:r>
      <w:r w:rsidDel="00000000" w:rsidR="00000000" w:rsidRPr="00000000">
        <w:rPr>
          <w:rFonts w:ascii="Arial" w:cs="Arial" w:eastAsia="Arial" w:hAnsi="Arial"/>
          <w:b w:val="1"/>
          <w:sz w:val="22"/>
          <w:szCs w:val="22"/>
          <w:u w:val="single"/>
          <w:rtl w:val="0"/>
        </w:rPr>
        <w:t xml:space="preserve"> 2.38% </w:t>
      </w:r>
      <w:r w:rsidDel="00000000" w:rsidR="00000000" w:rsidRPr="00000000">
        <w:rPr>
          <w:rFonts w:ascii="Arial" w:cs="Arial" w:eastAsia="Arial" w:hAnsi="Arial"/>
          <w:b w:val="1"/>
          <w:sz w:val="22"/>
          <w:szCs w:val="22"/>
          <w:u w:val="single"/>
          <w:rtl w:val="0"/>
        </w:rPr>
        <w:t xml:space="preserve">(or if Portland Metro CPIU is available, its annual change or 2%, whichever is higher)</w:t>
      </w:r>
      <w:r w:rsidDel="00000000" w:rsidR="00000000" w:rsidRPr="00000000">
        <w:rPr>
          <w:rFonts w:ascii="Arial" w:cs="Arial" w:eastAsia="Arial" w:hAnsi="Arial"/>
          <w:b w:val="1"/>
          <w:sz w:val="22"/>
          <w:szCs w:val="22"/>
          <w:u w:val="single"/>
          <w:rtl w:val="0"/>
        </w:rPr>
        <w:t xml:space="preserve"> increase </w:t>
      </w:r>
      <w:r w:rsidDel="00000000" w:rsidR="00000000" w:rsidRPr="00000000">
        <w:rPr>
          <w:rFonts w:ascii="Arial" w:cs="Arial" w:eastAsia="Arial" w:hAnsi="Arial"/>
          <w:b w:val="1"/>
          <w:sz w:val="22"/>
          <w:szCs w:val="22"/>
          <w:u w:val="single"/>
          <w:rtl w:val="0"/>
        </w:rPr>
        <w:t xml:space="preserve">to their salary</w:t>
      </w:r>
      <w:r w:rsidDel="00000000" w:rsidR="00000000" w:rsidRPr="00000000">
        <w:rPr>
          <w:rFonts w:ascii="Arial" w:cs="Arial" w:eastAsia="Arial" w:hAnsi="Arial"/>
          <w:b w:val="1"/>
          <w:sz w:val="22"/>
          <w:szCs w:val="22"/>
          <w:u w:val="single"/>
          <w:rtl w:val="0"/>
        </w:rPr>
        <w:t xml:space="preserve"> rate upon reappointment into each academic year</w:t>
      </w:r>
      <w:r w:rsidDel="00000000" w:rsidR="00000000" w:rsidRPr="00000000">
        <w:rPr>
          <w:rFonts w:ascii="Arial" w:cs="Arial" w:eastAsia="Arial" w:hAnsi="Arial"/>
          <w:b w:val="1"/>
          <w:sz w:val="22"/>
          <w:szCs w:val="22"/>
          <w:u w:val="singl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SALARY_ARTICLE.RAISE_IMPLEMENTATION_SECTION – Raise Implementation</w:t>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To compute a raise, perform the following steps:</w:t>
      </w:r>
    </w:p>
    <w:p w:rsidR="00000000" w:rsidDel="00000000" w:rsidP="00000000" w:rsidRDefault="00000000" w:rsidRPr="00000000">
      <w:pPr>
        <w:numPr>
          <w:ilvl w:val="0"/>
          <w:numId w:val="5"/>
        </w:numPr>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If the GA was previously employed as a GA during a previous academic year and the salary is being computed for the initial pay period of the first appointment for this GA during a new academic year, apply the COLA increase in Section SALARY_ARTICLE.COLA_SECTION.</w:t>
      </w:r>
    </w:p>
    <w:p w:rsidR="00000000" w:rsidDel="00000000" w:rsidP="00000000" w:rsidRDefault="00000000" w:rsidRPr="00000000">
      <w:pPr>
        <w:numPr>
          <w:ilvl w:val="0"/>
          <w:numId w:val="5"/>
        </w:numPr>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If the GA has met the criteria in Section SALARY_ARTICLE.LEVELS_SECTION for a new pay level, apply the level increase for the pay period wherein the criteria were met.</w:t>
      </w:r>
    </w:p>
    <w:p w:rsidR="00000000" w:rsidDel="00000000" w:rsidP="00000000" w:rsidRDefault="00000000" w:rsidRPr="00000000">
      <w:pPr>
        <w:numPr>
          <w:ilvl w:val="0"/>
          <w:numId w:val="5"/>
        </w:numPr>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If the resulting monthly salary does not meet the minimum established in Section SALARY_ARTICLE.1, increase it to meet that minimum.</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color w:val="333333"/>
          <w:sz w:val="22"/>
          <w:szCs w:val="22"/>
          <w:highlight w:val="whit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Pr>
        <w:drawing>
          <wp:inline distB="114300" distT="114300" distL="114300" distR="114300">
            <wp:extent cx="7810500" cy="59102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810500" cy="5910263"/>
                    </a:xfrm>
                    <a:prstGeom prst="rect"/>
                    <a:ln/>
                  </pic:spPr>
                </pic:pic>
              </a:graphicData>
            </a:graphic>
          </wp:inline>
        </w:drawing>
      </w:r>
      <w:r w:rsidDel="00000000" w:rsidR="00000000" w:rsidRPr="00000000">
        <w:rPr>
          <w:rtl w:val="0"/>
        </w:rPr>
      </w:r>
    </w:p>
    <w:sectPr>
      <w:headerReference r:id="rId7" w:type="default"/>
      <w:footerReference r:id="rId8" w:type="default"/>
      <w:footerReference r:id="rId9" w:type="even"/>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2A</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76" w:lineRule="auto"/>
      <w:contextualSpacing w:val="0"/>
      <w:rPr>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2"/>
        <w:szCs w:val="22"/>
        <w:rtl w:val="0"/>
      </w:rPr>
      <w:t xml:space="preserve">11/17/2017 - GEU Counter Proposal to Admin Proposal of 10/27/17</w:t>
    </w:r>
    <w:r w:rsidDel="00000000" w:rsidR="00000000" w:rsidRPr="00000000">
      <w:rPr>
        <w:i w:val="0"/>
        <w:smallCaps w:val="0"/>
        <w:strike w:val="0"/>
        <w:color w:val="000000"/>
        <w:sz w:val="24"/>
        <w:szCs w:val="24"/>
        <w:u w:val="none"/>
        <w:shd w:fill="auto" w:val="clear"/>
        <w:vertAlign w:val="baseline"/>
        <w:rtl w:val="0"/>
      </w:rPr>
      <w:tab/>
    </w:r>
  </w: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i w:val="0"/>
        <w:smallCaps w:val="0"/>
        <w:strike w:val="0"/>
        <w:color w:val="000000"/>
        <w:sz w:val="24"/>
        <w:szCs w:val="24"/>
        <w:u w:val="none"/>
        <w:shd w:fill="auto" w:val="clear"/>
        <w:vertAlign w:val="baseline"/>
        <w:rtl w:val="0"/>
      </w:rPr>
      <w:tab/>
      <w:tab/>
      <w:tab/>
      <w:tab/>
      <w:tab/>
      <w:tab/>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hyperlink" Target="https://aspe.hhs.gov/poverty-guidelines" TargetMode="Externa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